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07" w:rsidRPr="0036262D" w:rsidRDefault="0036262D" w:rsidP="003F7607">
      <w:pPr>
        <w:pStyle w:val="Normaalweb"/>
        <w:shd w:val="clear" w:color="auto" w:fill="FFFFFF"/>
        <w:spacing w:before="0" w:beforeAutospacing="0" w:after="128" w:afterAutospacing="0"/>
        <w:jc w:val="center"/>
        <w:rPr>
          <w:rFonts w:asciiTheme="minorHAnsi" w:hAnsiTheme="minorHAnsi" w:cstheme="minorHAnsi"/>
          <w:b/>
          <w:color w:val="333333"/>
          <w:sz w:val="22"/>
          <w:szCs w:val="22"/>
        </w:rPr>
      </w:pPr>
      <w:r w:rsidRPr="0036262D">
        <w:rPr>
          <w:rFonts w:asciiTheme="minorHAnsi" w:hAnsiTheme="minorHAnsi" w:cstheme="minorHAnsi"/>
          <w:b/>
          <w:color w:val="333333"/>
          <w:sz w:val="22"/>
          <w:szCs w:val="22"/>
        </w:rPr>
        <w:t>Adam Goldwyn</w:t>
      </w:r>
    </w:p>
    <w:p w:rsidR="003F7607" w:rsidRPr="0036262D" w:rsidRDefault="003F7607" w:rsidP="003F7607">
      <w:pPr>
        <w:pStyle w:val="Normaalweb"/>
        <w:shd w:val="clear" w:color="auto" w:fill="FFFFFF"/>
        <w:spacing w:before="0" w:beforeAutospacing="0" w:after="128" w:afterAutospacing="0"/>
        <w:rPr>
          <w:rFonts w:asciiTheme="minorHAnsi" w:hAnsiTheme="minorHAnsi" w:cstheme="minorHAnsi"/>
          <w:color w:val="333333"/>
          <w:sz w:val="22"/>
          <w:szCs w:val="22"/>
        </w:rPr>
      </w:pPr>
    </w:p>
    <w:p w:rsidR="00814E4C" w:rsidRPr="00814C50" w:rsidRDefault="00814E4C" w:rsidP="00247EE5">
      <w:pPr>
        <w:pStyle w:val="Kop2"/>
        <w:rPr>
          <w:rFonts w:asciiTheme="minorHAnsi" w:hAnsiTheme="minorHAnsi" w:cstheme="minorHAnsi"/>
          <w:lang w:val="en-GB"/>
        </w:rPr>
      </w:pPr>
      <w:bookmarkStart w:id="0" w:name="_GoBack"/>
      <w:bookmarkEnd w:id="0"/>
      <w:r w:rsidRPr="00814C50">
        <w:rPr>
          <w:rFonts w:asciiTheme="minorHAnsi" w:hAnsiTheme="minorHAnsi" w:cstheme="minorHAnsi"/>
          <w:lang w:val="en-GB"/>
        </w:rPr>
        <w:t>Abstract</w:t>
      </w:r>
    </w:p>
    <w:p w:rsidR="0036262D" w:rsidRPr="0036262D" w:rsidRDefault="0036262D" w:rsidP="0036262D">
      <w:pPr>
        <w:pStyle w:val="Normaalweb"/>
        <w:spacing w:before="0" w:beforeAutospacing="0" w:after="0" w:afterAutospacing="0"/>
        <w:rPr>
          <w:rFonts w:asciiTheme="minorHAnsi" w:hAnsiTheme="minorHAnsi" w:cstheme="minorHAnsi"/>
        </w:rPr>
      </w:pPr>
      <w:r w:rsidRPr="0036262D">
        <w:rPr>
          <w:rFonts w:asciiTheme="minorHAnsi" w:hAnsiTheme="minorHAnsi" w:cstheme="minorHAnsi"/>
          <w:color w:val="000000"/>
          <w:sz w:val="22"/>
          <w:szCs w:val="22"/>
        </w:rPr>
        <w:t xml:space="preserve">This paper will </w:t>
      </w:r>
      <w:proofErr w:type="spellStart"/>
      <w:r w:rsidRPr="0036262D">
        <w:rPr>
          <w:rFonts w:asciiTheme="minorHAnsi" w:hAnsiTheme="minorHAnsi" w:cstheme="minorHAnsi"/>
          <w:color w:val="000000"/>
          <w:sz w:val="22"/>
          <w:szCs w:val="22"/>
        </w:rPr>
        <w:t>analyze</w:t>
      </w:r>
      <w:proofErr w:type="spellEnd"/>
      <w:r w:rsidRPr="0036262D">
        <w:rPr>
          <w:rFonts w:asciiTheme="minorHAnsi" w:hAnsiTheme="minorHAnsi" w:cstheme="minorHAnsi"/>
          <w:color w:val="000000"/>
          <w:sz w:val="22"/>
          <w:szCs w:val="22"/>
        </w:rPr>
        <w:t xml:space="preserve"> the rhetorical and historiographical strategies by which Odysseus’ return to </w:t>
      </w:r>
      <w:proofErr w:type="spellStart"/>
      <w:r w:rsidRPr="0036262D">
        <w:rPr>
          <w:rFonts w:asciiTheme="minorHAnsi" w:hAnsiTheme="minorHAnsi" w:cstheme="minorHAnsi"/>
          <w:color w:val="000000"/>
          <w:sz w:val="22"/>
          <w:szCs w:val="22"/>
        </w:rPr>
        <w:t>Ithaka</w:t>
      </w:r>
      <w:proofErr w:type="spellEnd"/>
      <w:r w:rsidRPr="0036262D">
        <w:rPr>
          <w:rFonts w:asciiTheme="minorHAnsi" w:hAnsiTheme="minorHAnsi" w:cstheme="minorHAnsi"/>
          <w:color w:val="000000"/>
          <w:sz w:val="22"/>
          <w:szCs w:val="22"/>
        </w:rPr>
        <w:t xml:space="preserve"> after the Trojan War was narrated in Byzantium, with a particular emphasis on how these narratives limited the scope of agency and power available to the varied capable mortal women and goddesses of Homer’s Odyssey to their sexuality. Thus, for instance, in the chronicle of the sixth-century historian John </w:t>
      </w:r>
      <w:proofErr w:type="spellStart"/>
      <w:r w:rsidRPr="0036262D">
        <w:rPr>
          <w:rFonts w:asciiTheme="minorHAnsi" w:hAnsiTheme="minorHAnsi" w:cstheme="minorHAnsi"/>
          <w:color w:val="000000"/>
          <w:sz w:val="22"/>
          <w:szCs w:val="22"/>
        </w:rPr>
        <w:t>Malalas</w:t>
      </w:r>
      <w:proofErr w:type="spellEnd"/>
      <w:r w:rsidRPr="0036262D">
        <w:rPr>
          <w:rFonts w:asciiTheme="minorHAnsi" w:hAnsiTheme="minorHAnsi" w:cstheme="minorHAnsi"/>
          <w:color w:val="000000"/>
          <w:sz w:val="22"/>
          <w:szCs w:val="22"/>
        </w:rPr>
        <w:t xml:space="preserve">, Kirke loses her magical power to turn men into animals (as in the Odyssey), and instead uses her sexual prowess to make them stay. In the twelfth-century Allegories of the Odyssey by the poet, scholar, and Homeric interpreter John </w:t>
      </w:r>
      <w:proofErr w:type="spellStart"/>
      <w:r w:rsidRPr="0036262D">
        <w:rPr>
          <w:rFonts w:asciiTheme="minorHAnsi" w:hAnsiTheme="minorHAnsi" w:cstheme="minorHAnsi"/>
          <w:color w:val="000000"/>
          <w:sz w:val="22"/>
          <w:szCs w:val="22"/>
        </w:rPr>
        <w:t>Tzetzes</w:t>
      </w:r>
      <w:proofErr w:type="spellEnd"/>
      <w:r w:rsidRPr="0036262D">
        <w:rPr>
          <w:rFonts w:asciiTheme="minorHAnsi" w:hAnsiTheme="minorHAnsi" w:cstheme="minorHAnsi"/>
          <w:color w:val="000000"/>
          <w:sz w:val="22"/>
          <w:szCs w:val="22"/>
        </w:rPr>
        <w:t xml:space="preserve"> re-imagines her as a madam who runs a brothel. For </w:t>
      </w:r>
      <w:proofErr w:type="spellStart"/>
      <w:r w:rsidRPr="0036262D">
        <w:rPr>
          <w:rFonts w:asciiTheme="minorHAnsi" w:hAnsiTheme="minorHAnsi" w:cstheme="minorHAnsi"/>
          <w:color w:val="000000"/>
          <w:sz w:val="22"/>
          <w:szCs w:val="22"/>
        </w:rPr>
        <w:t>Tzetzes</w:t>
      </w:r>
      <w:proofErr w:type="spellEnd"/>
      <w:r w:rsidRPr="0036262D">
        <w:rPr>
          <w:rFonts w:asciiTheme="minorHAnsi" w:hAnsiTheme="minorHAnsi" w:cstheme="minorHAnsi"/>
          <w:color w:val="000000"/>
          <w:sz w:val="22"/>
          <w:szCs w:val="22"/>
        </w:rPr>
        <w:t>, reduction to prostitutes is an effective means of limiting the agency of other dangerous women; the sirens, too, are prostitutes. This process of rationalization and de-</w:t>
      </w:r>
      <w:proofErr w:type="spellStart"/>
      <w:r w:rsidRPr="0036262D">
        <w:rPr>
          <w:rFonts w:asciiTheme="minorHAnsi" w:hAnsiTheme="minorHAnsi" w:cstheme="minorHAnsi"/>
          <w:color w:val="000000"/>
          <w:sz w:val="22"/>
          <w:szCs w:val="22"/>
        </w:rPr>
        <w:t>mythification</w:t>
      </w:r>
      <w:proofErr w:type="spellEnd"/>
      <w:r w:rsidRPr="0036262D">
        <w:rPr>
          <w:rFonts w:asciiTheme="minorHAnsi" w:hAnsiTheme="minorHAnsi" w:cstheme="minorHAnsi"/>
          <w:color w:val="000000"/>
          <w:sz w:val="22"/>
          <w:szCs w:val="22"/>
        </w:rPr>
        <w:t xml:space="preserve"> of the often mythical/pagan/supernatural women appears also in the depiction of other women in Byzantine accounts of the events of the Odyssey. Thus, for instance, in </w:t>
      </w:r>
      <w:proofErr w:type="spellStart"/>
      <w:r w:rsidRPr="0036262D">
        <w:rPr>
          <w:rFonts w:asciiTheme="minorHAnsi" w:hAnsiTheme="minorHAnsi" w:cstheme="minorHAnsi"/>
          <w:color w:val="000000"/>
          <w:sz w:val="22"/>
          <w:szCs w:val="22"/>
        </w:rPr>
        <w:t>Malalas</w:t>
      </w:r>
      <w:proofErr w:type="spellEnd"/>
      <w:r w:rsidRPr="0036262D">
        <w:rPr>
          <w:rFonts w:asciiTheme="minorHAnsi" w:hAnsiTheme="minorHAnsi" w:cstheme="minorHAnsi"/>
          <w:color w:val="000000"/>
          <w:sz w:val="22"/>
          <w:szCs w:val="22"/>
        </w:rPr>
        <w:t xml:space="preserve">’ account, the rewriting of the episode of the Cyclops transforms </w:t>
      </w:r>
      <w:proofErr w:type="spellStart"/>
      <w:r w:rsidRPr="0036262D">
        <w:rPr>
          <w:rFonts w:asciiTheme="minorHAnsi" w:hAnsiTheme="minorHAnsi" w:cstheme="minorHAnsi"/>
          <w:color w:val="000000"/>
          <w:sz w:val="22"/>
          <w:szCs w:val="22"/>
        </w:rPr>
        <w:t>Polyphemos</w:t>
      </w:r>
      <w:proofErr w:type="spellEnd"/>
      <w:r w:rsidRPr="0036262D">
        <w:rPr>
          <w:rFonts w:asciiTheme="minorHAnsi" w:hAnsiTheme="minorHAnsi" w:cstheme="minorHAnsi"/>
          <w:color w:val="000000"/>
          <w:sz w:val="22"/>
          <w:szCs w:val="22"/>
        </w:rPr>
        <w:t xml:space="preserve"> into a mortal and gives him a daughter, </w:t>
      </w:r>
      <w:proofErr w:type="spellStart"/>
      <w:r w:rsidRPr="0036262D">
        <w:rPr>
          <w:rFonts w:asciiTheme="minorHAnsi" w:hAnsiTheme="minorHAnsi" w:cstheme="minorHAnsi"/>
          <w:color w:val="000000"/>
          <w:sz w:val="22"/>
          <w:szCs w:val="22"/>
        </w:rPr>
        <w:t>Elpe</w:t>
      </w:r>
      <w:proofErr w:type="spellEnd"/>
      <w:r w:rsidRPr="0036262D">
        <w:rPr>
          <w:rFonts w:asciiTheme="minorHAnsi" w:hAnsiTheme="minorHAnsi" w:cstheme="minorHAnsi"/>
          <w:color w:val="000000"/>
          <w:sz w:val="22"/>
          <w:szCs w:val="22"/>
        </w:rPr>
        <w:t xml:space="preserve">, in place of his eye. Instead of being blinded as in the Odyssey, </w:t>
      </w:r>
      <w:proofErr w:type="spellStart"/>
      <w:r w:rsidRPr="0036262D">
        <w:rPr>
          <w:rFonts w:asciiTheme="minorHAnsi" w:hAnsiTheme="minorHAnsi" w:cstheme="minorHAnsi"/>
          <w:color w:val="000000"/>
          <w:sz w:val="22"/>
          <w:szCs w:val="22"/>
        </w:rPr>
        <w:t>Polyphemos</w:t>
      </w:r>
      <w:proofErr w:type="spellEnd"/>
      <w:r w:rsidRPr="0036262D">
        <w:rPr>
          <w:rFonts w:asciiTheme="minorHAnsi" w:hAnsiTheme="minorHAnsi" w:cstheme="minorHAnsi"/>
          <w:color w:val="000000"/>
          <w:sz w:val="22"/>
          <w:szCs w:val="22"/>
        </w:rPr>
        <w:t>’ daughter is captured by Odysseus’ crew. Thus, the mythological and supernatural is again rationalized in a way that reduces women’s agency to their sexuality.</w:t>
      </w:r>
    </w:p>
    <w:p w:rsidR="0036262D" w:rsidRPr="0036262D" w:rsidRDefault="0036262D" w:rsidP="0036262D">
      <w:pPr>
        <w:pStyle w:val="Normaalweb"/>
        <w:spacing w:before="0" w:beforeAutospacing="0" w:after="0" w:afterAutospacing="0"/>
        <w:rPr>
          <w:rFonts w:asciiTheme="minorHAnsi" w:hAnsiTheme="minorHAnsi" w:cstheme="minorHAnsi"/>
        </w:rPr>
      </w:pPr>
      <w:r w:rsidRPr="0036262D">
        <w:rPr>
          <w:rFonts w:asciiTheme="minorHAnsi" w:hAnsiTheme="minorHAnsi" w:cstheme="minorHAnsi"/>
          <w:color w:val="000000"/>
          <w:sz w:val="22"/>
          <w:szCs w:val="22"/>
        </w:rPr>
        <w:t>The texts of the western medieval European tradition are explicitly misogynistic: in their re-</w:t>
      </w:r>
      <w:proofErr w:type="spellStart"/>
      <w:r w:rsidRPr="0036262D">
        <w:rPr>
          <w:rFonts w:asciiTheme="minorHAnsi" w:hAnsiTheme="minorHAnsi" w:cstheme="minorHAnsi"/>
          <w:color w:val="000000"/>
          <w:sz w:val="22"/>
          <w:szCs w:val="22"/>
        </w:rPr>
        <w:t>tellings</w:t>
      </w:r>
      <w:proofErr w:type="spellEnd"/>
      <w:r w:rsidRPr="0036262D">
        <w:rPr>
          <w:rFonts w:asciiTheme="minorHAnsi" w:hAnsiTheme="minorHAnsi" w:cstheme="minorHAnsi"/>
          <w:color w:val="000000"/>
          <w:sz w:val="22"/>
          <w:szCs w:val="22"/>
        </w:rPr>
        <w:t xml:space="preserve"> of the Trojan War, medieval writers such as Guido </w:t>
      </w:r>
      <w:proofErr w:type="spellStart"/>
      <w:r w:rsidRPr="0036262D">
        <w:rPr>
          <w:rFonts w:asciiTheme="minorHAnsi" w:hAnsiTheme="minorHAnsi" w:cstheme="minorHAnsi"/>
          <w:color w:val="000000"/>
          <w:sz w:val="22"/>
          <w:szCs w:val="22"/>
        </w:rPr>
        <w:t>delle</w:t>
      </w:r>
      <w:proofErr w:type="spellEnd"/>
      <w:r w:rsidRPr="0036262D">
        <w:rPr>
          <w:rFonts w:asciiTheme="minorHAnsi" w:hAnsiTheme="minorHAnsi" w:cstheme="minorHAnsi"/>
          <w:color w:val="000000"/>
          <w:sz w:val="22"/>
          <w:szCs w:val="22"/>
        </w:rPr>
        <w:t xml:space="preserve"> </w:t>
      </w:r>
      <w:proofErr w:type="spellStart"/>
      <w:r w:rsidRPr="0036262D">
        <w:rPr>
          <w:rFonts w:asciiTheme="minorHAnsi" w:hAnsiTheme="minorHAnsi" w:cstheme="minorHAnsi"/>
          <w:color w:val="000000"/>
          <w:sz w:val="22"/>
          <w:szCs w:val="22"/>
        </w:rPr>
        <w:t>Colonne</w:t>
      </w:r>
      <w:proofErr w:type="spellEnd"/>
      <w:r w:rsidRPr="0036262D">
        <w:rPr>
          <w:rFonts w:asciiTheme="minorHAnsi" w:hAnsiTheme="minorHAnsi" w:cstheme="minorHAnsi"/>
          <w:color w:val="000000"/>
          <w:sz w:val="22"/>
          <w:szCs w:val="22"/>
        </w:rPr>
        <w:t xml:space="preserve"> and John Lydgate add long authorial digressions denouncing the vices of women; the Byzantine writers (with some notable exceptions), by contrast, encode a more subtle but ultimately hardly less damaging misogyny into their texts, diminishing the powerful, thoughtful, cunning, wise, women of the Odyssey by writing them out of the narrative or transforming them into either victims or perpetrators of sexual aggression. While myth may have allowed for powerful women, the conventions of Byzantine historiography and Byzantines’ understanding of the drivers of historical causation (e.g. the imperial histories shaped by powerful men) resulted in a significant </w:t>
      </w:r>
      <w:proofErr w:type="spellStart"/>
      <w:r w:rsidRPr="0036262D">
        <w:rPr>
          <w:rFonts w:asciiTheme="minorHAnsi" w:hAnsiTheme="minorHAnsi" w:cstheme="minorHAnsi"/>
          <w:color w:val="000000"/>
          <w:sz w:val="22"/>
          <w:szCs w:val="22"/>
        </w:rPr>
        <w:t>unwriting</w:t>
      </w:r>
      <w:proofErr w:type="spellEnd"/>
      <w:r w:rsidRPr="0036262D">
        <w:rPr>
          <w:rFonts w:asciiTheme="minorHAnsi" w:hAnsiTheme="minorHAnsi" w:cstheme="minorHAnsi"/>
          <w:color w:val="000000"/>
          <w:sz w:val="22"/>
          <w:szCs w:val="22"/>
        </w:rPr>
        <w:t xml:space="preserve"> of women in narratives inherited from the Classical past.</w:t>
      </w:r>
    </w:p>
    <w:p w:rsidR="0036262D" w:rsidRPr="0036262D" w:rsidRDefault="0036262D" w:rsidP="0036262D">
      <w:pPr>
        <w:pStyle w:val="Normaalweb"/>
        <w:spacing w:before="0" w:beforeAutospacing="0" w:after="0" w:afterAutospacing="0"/>
        <w:rPr>
          <w:rFonts w:asciiTheme="minorHAnsi" w:hAnsiTheme="minorHAnsi" w:cstheme="minorHAnsi"/>
        </w:rPr>
      </w:pPr>
      <w:r w:rsidRPr="0036262D">
        <w:rPr>
          <w:rFonts w:asciiTheme="minorHAnsi" w:hAnsiTheme="minorHAnsi" w:cstheme="minorHAnsi"/>
          <w:color w:val="000000"/>
          <w:sz w:val="22"/>
          <w:szCs w:val="22"/>
        </w:rPr>
        <w:t xml:space="preserve">In both </w:t>
      </w:r>
      <w:proofErr w:type="spellStart"/>
      <w:r w:rsidRPr="0036262D">
        <w:rPr>
          <w:rFonts w:asciiTheme="minorHAnsi" w:hAnsiTheme="minorHAnsi" w:cstheme="minorHAnsi"/>
          <w:color w:val="000000"/>
          <w:sz w:val="22"/>
          <w:szCs w:val="22"/>
        </w:rPr>
        <w:t>Malalas</w:t>
      </w:r>
      <w:proofErr w:type="spellEnd"/>
      <w:r w:rsidRPr="0036262D">
        <w:rPr>
          <w:rFonts w:asciiTheme="minorHAnsi" w:hAnsiTheme="minorHAnsi" w:cstheme="minorHAnsi"/>
          <w:color w:val="000000"/>
          <w:sz w:val="22"/>
          <w:szCs w:val="22"/>
        </w:rPr>
        <w:t xml:space="preserve"> and </w:t>
      </w:r>
      <w:proofErr w:type="spellStart"/>
      <w:r w:rsidRPr="0036262D">
        <w:rPr>
          <w:rFonts w:asciiTheme="minorHAnsi" w:hAnsiTheme="minorHAnsi" w:cstheme="minorHAnsi"/>
          <w:color w:val="000000"/>
          <w:sz w:val="22"/>
          <w:szCs w:val="22"/>
        </w:rPr>
        <w:t>Tzetzes</w:t>
      </w:r>
      <w:proofErr w:type="spellEnd"/>
      <w:r w:rsidRPr="0036262D">
        <w:rPr>
          <w:rFonts w:asciiTheme="minorHAnsi" w:hAnsiTheme="minorHAnsi" w:cstheme="minorHAnsi"/>
          <w:color w:val="000000"/>
          <w:sz w:val="22"/>
          <w:szCs w:val="22"/>
        </w:rPr>
        <w:t xml:space="preserve">, strategies for rewriting the Homeric epics sought to remove the enchanted elements of the Homeric epics but, in domesticating the </w:t>
      </w:r>
      <w:proofErr w:type="spellStart"/>
      <w:r w:rsidRPr="0036262D">
        <w:rPr>
          <w:rFonts w:asciiTheme="minorHAnsi" w:hAnsiTheme="minorHAnsi" w:cstheme="minorHAnsi"/>
          <w:color w:val="000000"/>
          <w:sz w:val="22"/>
          <w:szCs w:val="22"/>
        </w:rPr>
        <w:t>marvelous</w:t>
      </w:r>
      <w:proofErr w:type="spellEnd"/>
      <w:r w:rsidRPr="0036262D">
        <w:rPr>
          <w:rFonts w:asciiTheme="minorHAnsi" w:hAnsiTheme="minorHAnsi" w:cstheme="minorHAnsi"/>
          <w:color w:val="000000"/>
          <w:sz w:val="22"/>
          <w:szCs w:val="22"/>
        </w:rPr>
        <w:t xml:space="preserve">, they also domesticated the poems’ </w:t>
      </w:r>
      <w:proofErr w:type="spellStart"/>
      <w:r w:rsidRPr="0036262D">
        <w:rPr>
          <w:rFonts w:asciiTheme="minorHAnsi" w:hAnsiTheme="minorHAnsi" w:cstheme="minorHAnsi"/>
          <w:color w:val="000000"/>
          <w:sz w:val="22"/>
          <w:szCs w:val="22"/>
        </w:rPr>
        <w:t>marvelous</w:t>
      </w:r>
      <w:proofErr w:type="spellEnd"/>
      <w:r w:rsidRPr="0036262D">
        <w:rPr>
          <w:rFonts w:asciiTheme="minorHAnsi" w:hAnsiTheme="minorHAnsi" w:cstheme="minorHAnsi"/>
          <w:color w:val="000000"/>
          <w:sz w:val="22"/>
          <w:szCs w:val="22"/>
        </w:rPr>
        <w:t xml:space="preserve"> women, and thus offer insight into Byzantine conceptions what it meant to be a woman, and what a woman was allowed to be.</w:t>
      </w:r>
    </w:p>
    <w:p w:rsidR="005E6081" w:rsidRPr="0036262D" w:rsidRDefault="005E6081" w:rsidP="00247EE5">
      <w:pPr>
        <w:rPr>
          <w:rFonts w:cstheme="minorHAnsi"/>
          <w:lang w:val="en-GB"/>
        </w:rPr>
      </w:pPr>
    </w:p>
    <w:sectPr w:rsidR="005E6081" w:rsidRPr="00362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07"/>
    <w:rsid w:val="0021393B"/>
    <w:rsid w:val="00247EE5"/>
    <w:rsid w:val="0036262D"/>
    <w:rsid w:val="003F7607"/>
    <w:rsid w:val="004526D7"/>
    <w:rsid w:val="00513FC6"/>
    <w:rsid w:val="00515D29"/>
    <w:rsid w:val="005E6081"/>
    <w:rsid w:val="007F55CF"/>
    <w:rsid w:val="00814C50"/>
    <w:rsid w:val="00814E4C"/>
    <w:rsid w:val="00902E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703C"/>
  <w15:chartTrackingRefBased/>
  <w15:docId w15:val="{817D9F9C-92B9-4487-9BDA-09788739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3F76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F760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Standaardalinea-lettertype"/>
    <w:uiPriority w:val="99"/>
    <w:semiHidden/>
    <w:unhideWhenUsed/>
    <w:rsid w:val="003F7607"/>
    <w:rPr>
      <w:color w:val="0000FF"/>
      <w:u w:val="single"/>
    </w:rPr>
  </w:style>
  <w:style w:type="character" w:customStyle="1" w:styleId="Kop2Char">
    <w:name w:val="Kop 2 Char"/>
    <w:basedOn w:val="Standaardalinea-lettertype"/>
    <w:link w:val="Kop2"/>
    <w:uiPriority w:val="9"/>
    <w:rsid w:val="003F76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782">
      <w:bodyDiv w:val="1"/>
      <w:marLeft w:val="0"/>
      <w:marRight w:val="0"/>
      <w:marTop w:val="0"/>
      <w:marBottom w:val="0"/>
      <w:divBdr>
        <w:top w:val="none" w:sz="0" w:space="0" w:color="auto"/>
        <w:left w:val="none" w:sz="0" w:space="0" w:color="auto"/>
        <w:bottom w:val="none" w:sz="0" w:space="0" w:color="auto"/>
        <w:right w:val="none" w:sz="0" w:space="0" w:color="auto"/>
      </w:divBdr>
    </w:div>
    <w:div w:id="435249954">
      <w:bodyDiv w:val="1"/>
      <w:marLeft w:val="0"/>
      <w:marRight w:val="0"/>
      <w:marTop w:val="0"/>
      <w:marBottom w:val="0"/>
      <w:divBdr>
        <w:top w:val="none" w:sz="0" w:space="0" w:color="auto"/>
        <w:left w:val="none" w:sz="0" w:space="0" w:color="auto"/>
        <w:bottom w:val="none" w:sz="0" w:space="0" w:color="auto"/>
        <w:right w:val="none" w:sz="0" w:space="0" w:color="auto"/>
      </w:divBdr>
    </w:div>
    <w:div w:id="451173074">
      <w:bodyDiv w:val="1"/>
      <w:marLeft w:val="0"/>
      <w:marRight w:val="0"/>
      <w:marTop w:val="0"/>
      <w:marBottom w:val="0"/>
      <w:divBdr>
        <w:top w:val="none" w:sz="0" w:space="0" w:color="auto"/>
        <w:left w:val="none" w:sz="0" w:space="0" w:color="auto"/>
        <w:bottom w:val="none" w:sz="0" w:space="0" w:color="auto"/>
        <w:right w:val="none" w:sz="0" w:space="0" w:color="auto"/>
      </w:divBdr>
    </w:div>
    <w:div w:id="911113223">
      <w:bodyDiv w:val="1"/>
      <w:marLeft w:val="0"/>
      <w:marRight w:val="0"/>
      <w:marTop w:val="0"/>
      <w:marBottom w:val="0"/>
      <w:divBdr>
        <w:top w:val="none" w:sz="0" w:space="0" w:color="auto"/>
        <w:left w:val="none" w:sz="0" w:space="0" w:color="auto"/>
        <w:bottom w:val="none" w:sz="0" w:space="0" w:color="auto"/>
        <w:right w:val="none" w:sz="0" w:space="0" w:color="auto"/>
      </w:divBdr>
    </w:div>
    <w:div w:id="9960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Bracke</dc:creator>
  <cp:keywords/>
  <dc:description/>
  <cp:lastModifiedBy>Evelien Bracke</cp:lastModifiedBy>
  <cp:revision>4</cp:revision>
  <dcterms:created xsi:type="dcterms:W3CDTF">2021-05-26T17:45:00Z</dcterms:created>
  <dcterms:modified xsi:type="dcterms:W3CDTF">2021-05-26T17:49:00Z</dcterms:modified>
</cp:coreProperties>
</file>